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P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413E2C" w:rsidRP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413E2C" w:rsidRDefault="00413E2C" w:rsidP="00413E2C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13E2C" w:rsidRDefault="00413E2C" w:rsidP="00413E2C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13E2C" w:rsidRPr="00413E2C" w:rsidRDefault="00413E2C" w:rsidP="00413E2C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 xml:space="preserve">ПМ 03 </w:t>
      </w:r>
      <w:r w:rsidRPr="00413E2C">
        <w:rPr>
          <w:rFonts w:ascii="Times New Roman" w:hAnsi="Times New Roman" w:cs="Times New Roman"/>
          <w:b/>
          <w:sz w:val="24"/>
          <w:szCs w:val="24"/>
        </w:rPr>
        <w:t>Проведение расчетов с бюджетом и внебюджетными фондами</w:t>
      </w:r>
    </w:p>
    <w:p w:rsidR="00413E2C" w:rsidRP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13E2C" w:rsidRPr="004415ED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8"/>
          <w:szCs w:val="28"/>
        </w:rPr>
      </w:pPr>
    </w:p>
    <w:p w:rsidR="00413E2C" w:rsidRPr="004415ED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Pr="004D469E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Pr="004D469E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A13090" w:rsidRPr="00A13090" w:rsidRDefault="00A13090" w:rsidP="00A13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3090">
        <w:rPr>
          <w:rFonts w:ascii="Times New Roman" w:hAnsi="Times New Roman" w:cs="Times New Roman"/>
          <w:sz w:val="24"/>
          <w:szCs w:val="24"/>
        </w:rPr>
        <w:lastRenderedPageBreak/>
        <w:t>Программа профессионального модуля</w:t>
      </w:r>
      <w:r w:rsidRPr="00A13090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A13090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в соответствии с Положением об инклюзивном образовании в ГБПОУ «Златоустовский индустриальный колледж им. П.П. Аносова» (П – 97-18) </w:t>
      </w:r>
      <w:r w:rsidRPr="00A130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3090">
        <w:rPr>
          <w:rFonts w:ascii="Times New Roman" w:hAnsi="Times New Roman" w:cs="Times New Roman"/>
          <w:sz w:val="24"/>
          <w:szCs w:val="24"/>
        </w:rPr>
        <w:t>по специальностям среднего профессионального образования (далее – СПО) 38.02.01 «Экономика и бухгалтерский учёт (по отраслям)»</w:t>
      </w:r>
    </w:p>
    <w:p w:rsidR="00413E2C" w:rsidRPr="006635B6" w:rsidRDefault="00413E2C" w:rsidP="00A13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Организация - разработчик: государственное бюджетное профессиональное образовательное учреждение «Златоустовский индустриальный колледж им.П.П.Аносова»</w:t>
      </w: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13E2C" w:rsidRPr="006635B6" w:rsidRDefault="00413E2C" w:rsidP="00413E2C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Pr="006635B6" w:rsidRDefault="00413E2C" w:rsidP="00413E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413E2C" w:rsidRPr="006635B6" w:rsidRDefault="00413E2C" w:rsidP="00413E2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A13090" w:rsidRPr="00A13090" w:rsidRDefault="00A13090" w:rsidP="00A1309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3090">
        <w:rPr>
          <w:rFonts w:ascii="Times New Roman" w:hAnsi="Times New Roman" w:cs="Times New Roman"/>
          <w:sz w:val="24"/>
          <w:szCs w:val="24"/>
        </w:rPr>
        <w:t>Программа профессионального модуля (далее - программа) – является частью основной профессиональной образовательной программы в соответствии с ФГОС по специальности  38.02.01 «Экономика и бухгалтерский учет» в том числе, и для обучения студентов-инвалидов и студентов с ОВЗ , в части освоения основного вида профессиональной деятельности (ВПД):</w:t>
      </w:r>
    </w:p>
    <w:p w:rsidR="00A6168F" w:rsidRPr="00A6168F" w:rsidRDefault="00A6168F" w:rsidP="00A13090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A6168F">
        <w:rPr>
          <w:rFonts w:ascii="Times New Roman" w:hAnsi="Times New Roman" w:cs="Times New Roman"/>
          <w:sz w:val="24"/>
          <w:szCs w:val="24"/>
        </w:rPr>
        <w:t xml:space="preserve">Проведение расчетов с бюджетом и внебюджетными фондами и соответствующих профессиональных компетенций (ПК): </w:t>
      </w:r>
    </w:p>
    <w:p w:rsidR="00413E2C" w:rsidRPr="00413E2C" w:rsidRDefault="00413E2C" w:rsidP="00413E2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Формировать бухгалтерские проводки по начислению и перечислению налогов и сборов в бюджеты различных уровней.</w:t>
      </w:r>
    </w:p>
    <w:p w:rsidR="00413E2C" w:rsidRPr="00413E2C" w:rsidRDefault="00413E2C" w:rsidP="00413E2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413E2C" w:rsidRPr="00413E2C" w:rsidRDefault="00413E2C" w:rsidP="00413E2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Формировать бухгалтерские проводки по начислению и перечислению страховых взносов во внебюджетные фонды.</w:t>
      </w:r>
    </w:p>
    <w:p w:rsidR="00413E2C" w:rsidRPr="00413E2C" w:rsidRDefault="00413E2C" w:rsidP="00413E2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-185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ab/>
        <w:t xml:space="preserve">Программа профессионального модуля может быть использована при освоении основной профессиональной образовательной программы специальности </w:t>
      </w:r>
      <w:r w:rsidR="00A701C6">
        <w:rPr>
          <w:rFonts w:ascii="Times New Roman" w:hAnsi="Times New Roman" w:cs="Times New Roman"/>
          <w:sz w:val="24"/>
          <w:szCs w:val="24"/>
        </w:rPr>
        <w:t>38.02.01</w:t>
      </w:r>
      <w:r w:rsidRPr="00413E2C">
        <w:rPr>
          <w:rFonts w:ascii="Times New Roman" w:hAnsi="Times New Roman" w:cs="Times New Roman"/>
          <w:sz w:val="24"/>
          <w:szCs w:val="24"/>
        </w:rPr>
        <w:t xml:space="preserve"> «Экономика и бухгалтерский учет (по отраслям)» рекомендуемых ФГОС </w:t>
      </w:r>
    </w:p>
    <w:p w:rsid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образовании.</w:t>
      </w: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  <w:r w:rsidRPr="00413E2C">
        <w:rPr>
          <w:rFonts w:ascii="Times New Roman" w:hAnsi="Times New Roman" w:cs="Times New Roman"/>
          <w:sz w:val="24"/>
          <w:szCs w:val="24"/>
        </w:rPr>
        <w:t xml:space="preserve"> проведения расчетов с бюджетом и  внебюджетными фондами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определять виды и порядок налогообложения;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ориентироваться в системе налогов Российской Федерации;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выделять элементы налогообложения;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определять источники уплаты налогов, сборов, пошлин;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оформлять бухгалтерскими проводками начисления и перечисления сумм налогов и сборов;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организовывать аналитический учет по счету 68 "Расчеты по налогам и сборам";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заполнять платежные поручения по перечислению налогов и сборов;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выбирать для платежных поручений по видам налогов соответствующие реквизиты;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выбирать коды бюджетной классификации для определенных налогов, штрафов и пени;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пользоваться образцом заполнения платежных поручений по перечислению налогов, сборов и пошлин;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проводить учет расчетов по социальному страхованию и обеспечению;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определять объекты налогообложения для исчисления страховых взносов;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применять порядок и соблюдать сроки исчисления страховых взносов;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применять особенности зачисления сумм страховых взносов в Фонд социального страхования Российской Федерации;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оформлять бухгалтерскими проводками начисление и перечисление сумм страховых взносов в Пенсионный фонд Российской Федерации, Фонд социального страхования Российской </w:t>
      </w:r>
      <w:r w:rsidRPr="00413E2C">
        <w:rPr>
          <w:rFonts w:ascii="Times New Roman" w:hAnsi="Times New Roman" w:cs="Times New Roman"/>
          <w:sz w:val="24"/>
          <w:szCs w:val="24"/>
        </w:rPr>
        <w:lastRenderedPageBreak/>
        <w:t>Федерации, Фонды обязательного медицинского страхования; осуществлять аналитический учет по счету 69 "Расчеты по социальному страхованию";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использовать средства внебюджетных фондов по направлениям, определенным законодательством;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осуществлять контроль прохождения платежных поручений по расчетно-кассовым банковским операциям с использованием выписок банка;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Фонды обязательного медицинского страхования;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выбирать для платежных поручений по видам страховых взносов соответствующие реквизиты;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оформлять платежные поручения по штрафам и пени внебюджетных фондов;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пользоваться образцом заполнения платежных поручений по перечислению страховых взносов во внебюджетные фонды;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заполнять данные статуса плательщика, ИНН (Индивидуального номера налогоплательщика) получателя, КПП (Кода причины постановки на учет) получателя; наименования налоговой инспекции, КБК (Кода бюджетной классификации), ОКАТО (Общероссийский классификатор административно-территориальных образований), основания платежа, страхового периода, номера документа, даты документа;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пользоваться образцом заполнения платежных поручений по перечислению страховых взносов во внебюджетные фонды;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виды и порядок налогообложения;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систему налогов Российской Федерации;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элементы налогообложения;           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источники уплаты налогов, сборов, пошлин;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оформление бухгалтерскими проводками начисления и перечисления сумм налогов и сборов;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аналитический учет по счету 68 "Расчеты по налогам и сборам";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порядок заполнения платежных поручений по перечислению налогов и сборов;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правила заполнения данных статуса плательщика, ИНН получателя, КПП получателя, наименования налоговой инспекции, КБК, ОКАТО, основания платежа, налогового периода, номера документа, даты документа, типа платежа;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коды бюджетной классификации, порядок их присвоения для налога, штрафа и пени;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образец заполнения платежных поручений по перечислению налогов, сборов и пошлин;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учет расчетов по социальному страхованию и обеспечению;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аналитический учет по счету 69 "Расчеты по социальному страхованию";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сущность и структуру страховых взносов во внебюджетные фонды;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объекты налогообложения для исчисления страховых взносов;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порядок и сроки исчисления страховых взносов;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особенности зачисления сумм страховых взносов в Фонд социального страхования Российской Федерации;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оформление бухгалтерскими проводками начисления и перечисления сумм страховых взносов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lastRenderedPageBreak/>
        <w:t>- начисление и перечисление взносов на страхование от несчастных случаев на производстве и профессиональных заболеваний;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использование средств внебюджетных фондов;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процедуру контроля прохождения платежных поручений по расчетно-кассовым банковским операциям с использованием выписок банка;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порядок заполнения платежных поручений по перечислению страховых взносов во внебюджетные фонды;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образец заполнения платежных поручений по перечислению страховых взносов во внебюджетные фонды;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процедуру контроля прохождения платежных поручений по расчетно-кассовым банковским операциям с использованием выписок банка.</w:t>
      </w:r>
    </w:p>
    <w:p w:rsid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/>
          <w:sz w:val="28"/>
          <w:szCs w:val="28"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rPr>
          <w:rFonts w:ascii="Times New Roman" w:hAnsi="Times New Roman" w:cs="Times New Roman"/>
          <w:sz w:val="24"/>
          <w:szCs w:val="24"/>
        </w:rPr>
        <w:sectPr w:rsidR="00413E2C" w:rsidRPr="006635B6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413E2C" w:rsidRPr="00413E2C" w:rsidRDefault="00413E2C" w:rsidP="00413E2C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профессионального модуля </w:t>
      </w:r>
    </w:p>
    <w:p w:rsidR="00413E2C" w:rsidRDefault="00413E2C" w:rsidP="003940E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76"/>
        <w:gridCol w:w="4521"/>
        <w:gridCol w:w="1310"/>
        <w:gridCol w:w="1023"/>
        <w:gridCol w:w="1604"/>
        <w:gridCol w:w="1313"/>
        <w:gridCol w:w="874"/>
        <w:gridCol w:w="172"/>
        <w:gridCol w:w="1145"/>
        <w:gridCol w:w="1167"/>
        <w:gridCol w:w="12"/>
        <w:gridCol w:w="1182"/>
      </w:tblGrid>
      <w:tr w:rsidR="003940E0" w:rsidRPr="00934B5E" w:rsidTr="003D1E07">
        <w:trPr>
          <w:trHeight w:val="435"/>
        </w:trPr>
        <w:tc>
          <w:tcPr>
            <w:tcW w:w="409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Коды</w:t>
            </w:r>
            <w:r w:rsidRPr="00934B5E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34B5E">
              <w:rPr>
                <w:b/>
                <w:sz w:val="20"/>
                <w:szCs w:val="20"/>
              </w:rPr>
              <w:t>профессиональных</w:t>
            </w:r>
            <w:r w:rsidRPr="00934B5E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34B5E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449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Наименования разделов</w:t>
            </w:r>
          </w:p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профессионального модуля</w:t>
            </w:r>
            <w:r w:rsidRPr="00934B5E">
              <w:rPr>
                <w:rStyle w:val="ab"/>
                <w:b/>
                <w:sz w:val="20"/>
                <w:szCs w:val="20"/>
              </w:rPr>
              <w:endnoteReference w:customMarkFollows="1" w:id="2"/>
              <w:t>*</w:t>
            </w:r>
          </w:p>
        </w:tc>
        <w:tc>
          <w:tcPr>
            <w:tcW w:w="420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934B5E">
              <w:rPr>
                <w:b/>
                <w:iCs/>
                <w:sz w:val="20"/>
                <w:szCs w:val="20"/>
              </w:rPr>
              <w:t>Всего часов</w:t>
            </w:r>
          </w:p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934B5E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965" w:type="pct"/>
            <w:gridSpan w:val="6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57" w:type="pct"/>
            <w:gridSpan w:val="3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3940E0" w:rsidRPr="00934B5E" w:rsidTr="003D1E07">
        <w:trPr>
          <w:trHeight w:val="602"/>
        </w:trPr>
        <w:tc>
          <w:tcPr>
            <w:tcW w:w="409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63" w:type="pct"/>
            <w:gridSpan w:val="3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2" w:type="pct"/>
            <w:gridSpan w:val="3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Самостоятельная работа обучающегося, </w:t>
            </w:r>
            <w:r w:rsidRPr="00934B5E">
              <w:rPr>
                <w:sz w:val="20"/>
                <w:szCs w:val="20"/>
              </w:rPr>
              <w:t>часов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Учебная,</w:t>
            </w:r>
          </w:p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часов</w:t>
            </w:r>
          </w:p>
        </w:tc>
        <w:tc>
          <w:tcPr>
            <w:tcW w:w="383" w:type="pct"/>
            <w:gridSpan w:val="2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Производственная (по профилю специальности), </w:t>
            </w:r>
            <w:r w:rsidRPr="00934B5E">
              <w:rPr>
                <w:sz w:val="20"/>
                <w:szCs w:val="20"/>
              </w:rPr>
              <w:t>часов</w:t>
            </w:r>
          </w:p>
        </w:tc>
      </w:tr>
      <w:tr w:rsidR="003940E0" w:rsidRPr="00934B5E" w:rsidTr="003D1E07">
        <w:trPr>
          <w:trHeight w:val="1141"/>
        </w:trPr>
        <w:tc>
          <w:tcPr>
            <w:tcW w:w="409" w:type="pct"/>
            <w:vMerge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Всего,</w:t>
            </w:r>
          </w:p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часов</w:t>
            </w:r>
          </w:p>
        </w:tc>
        <w:tc>
          <w:tcPr>
            <w:tcW w:w="514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в т.ч. лабораторные работы и практические занятия, </w:t>
            </w:r>
            <w:r w:rsidRPr="00934B5E">
              <w:rPr>
                <w:sz w:val="20"/>
                <w:szCs w:val="20"/>
              </w:rPr>
              <w:t>часов</w:t>
            </w:r>
          </w:p>
        </w:tc>
        <w:tc>
          <w:tcPr>
            <w:tcW w:w="421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в т.ч. курсовая работа (проект), часов</w:t>
            </w:r>
          </w:p>
        </w:tc>
        <w:tc>
          <w:tcPr>
            <w:tcW w:w="280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Всего, часов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в т.ч. курсовая работа (проект), часов</w:t>
            </w:r>
          </w:p>
        </w:tc>
        <w:tc>
          <w:tcPr>
            <w:tcW w:w="374" w:type="pct"/>
            <w:vMerge/>
            <w:shd w:val="clear" w:color="auto" w:fill="auto"/>
          </w:tcPr>
          <w:p w:rsidR="003940E0" w:rsidRPr="00934B5E" w:rsidRDefault="003940E0" w:rsidP="003D1E07">
            <w:pPr>
              <w:pStyle w:val="a4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a4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9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0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8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21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4" w:type="pc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10</w:t>
            </w: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ПК 3.1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 w:val="restart"/>
            <w:shd w:val="clear" w:color="auto" w:fill="auto"/>
          </w:tcPr>
          <w:p w:rsidR="003940E0" w:rsidRPr="00432D52" w:rsidRDefault="003940E0" w:rsidP="003D1E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МДК 03.01 </w:t>
            </w:r>
            <w:r>
              <w:rPr>
                <w:rFonts w:ascii="Times New Roman" w:hAnsi="Times New Roman" w:cs="Times New Roman"/>
              </w:rPr>
              <w:t>Организация расчётов с бюджетными и внебюджетными фондами</w:t>
            </w:r>
          </w:p>
        </w:tc>
        <w:tc>
          <w:tcPr>
            <w:tcW w:w="420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28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21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22" w:type="pct"/>
            <w:gridSpan w:val="2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383" w:type="pct"/>
            <w:gridSpan w:val="2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ПК 3.2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ПК 3.3 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rPr>
          <w:trHeight w:val="341"/>
        </w:trPr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ПК3.4 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rPr>
          <w:trHeight w:val="966"/>
        </w:trPr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ПК 1-4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</w:t>
            </w:r>
            <w:r w:rsidRPr="00934B5E">
              <w:rPr>
                <w:b/>
                <w:sz w:val="20"/>
                <w:szCs w:val="20"/>
              </w:rPr>
              <w:t xml:space="preserve"> практика</w:t>
            </w:r>
            <w:r w:rsidRPr="00934B5E">
              <w:rPr>
                <w:sz w:val="20"/>
                <w:szCs w:val="20"/>
              </w:rPr>
              <w:t>, часов</w:t>
            </w:r>
            <w:r w:rsidRPr="00934B5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0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3940E0" w:rsidRPr="00934B5E" w:rsidRDefault="003940E0" w:rsidP="003D1E07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36</w:t>
            </w:r>
          </w:p>
        </w:tc>
        <w:tc>
          <w:tcPr>
            <w:tcW w:w="2343" w:type="pct"/>
            <w:gridSpan w:val="8"/>
            <w:shd w:val="clear" w:color="auto" w:fill="C0C0C0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</w:t>
            </w: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420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2</w:t>
            </w:r>
            <w:r>
              <w:rPr>
                <w:b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328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10</w:t>
            </w:r>
            <w:r>
              <w:rPr>
                <w:b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514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421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5</w:t>
            </w:r>
            <w:r>
              <w:rPr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67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379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</w:tbl>
    <w:p w:rsidR="003940E0" w:rsidRPr="003940E0" w:rsidRDefault="003940E0" w:rsidP="003940E0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3940E0" w:rsidRPr="003940E0" w:rsidSect="00215202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413E2C" w:rsidRPr="006635B6" w:rsidRDefault="00413E2C" w:rsidP="00413E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>4 Информационное обеспечение обучения</w:t>
      </w: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6A5AE3" w:rsidRPr="006A5AE3" w:rsidRDefault="006A5AE3" w:rsidP="006A5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  <w:bCs/>
        </w:rPr>
        <w:t>Основные источники:</w:t>
      </w:r>
    </w:p>
    <w:p w:rsidR="006A5AE3" w:rsidRPr="006A5AE3" w:rsidRDefault="006A5AE3" w:rsidP="006A5AE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6A5AE3">
        <w:rPr>
          <w:rFonts w:ascii="Times New Roman" w:eastAsia="Calibri" w:hAnsi="Times New Roman" w:cs="Times New Roman"/>
          <w:bCs/>
        </w:rPr>
        <w:t>Богаченко В.М. Бухгалтерский учёт: учебник/ В.М.Богаченко, Н.А. Кириллова. – Изд.18-е, перераб. и доп. – Ростов н/Дону: Феникс, 2014 – 510с.</w:t>
      </w:r>
    </w:p>
    <w:p w:rsidR="006A5AE3" w:rsidRPr="006A5AE3" w:rsidRDefault="006A5AE3" w:rsidP="006A5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</w:rPr>
      </w:pPr>
    </w:p>
    <w:p w:rsidR="006A5AE3" w:rsidRPr="006A5AE3" w:rsidRDefault="006A5AE3" w:rsidP="006A5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  <w:bCs/>
        </w:rPr>
        <w:t>Дополнительные источники: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>Вобликова Т. В. , Н. М. Гридина. Бухгалтерский учёт. Книга 3. Учёт труда и заработной платы. Приложение (сборник форм). Ульяновск:; 2001; УавиаК, - 60 с.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>Учебное пособие по бухгалтерскому учету.- Златоуст:. Мини типография, 2003.-448с.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>Брыкова Н.В. Бухгалтерский учет в промышленности: Сборник задач: Учебное пособие для учреждений нач. проф. образования. – М.: ПрофОбрИздат, 2001. – 80 с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>Вобликова Т. В. , Н. М. Гридина. Бухгалтерский учёт. Книга 2. Учёт расчётов. Ульяновск:; 2001; УавиаК, - 128 с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>Вобликова Т. В. , Н. М. Гридина. Бухгалтерский учёт. Книга 3. Учёт труда и заработной платы. Ульяновск:; 2001; УАвиаК, - 115 с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>Кондраков Н.П. Бухгалтерский учет: учебное пособие. Издательство, перераб. и доп. – М.:ИНФРА-М, 2001. – 635с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>Богаченко В.М.  Бухгалтерский учет  2003г</w:t>
      </w:r>
      <w:r w:rsidRPr="006A5AE3">
        <w:rPr>
          <w:rFonts w:ascii="Times New Roman" w:hAnsi="Times New Roman" w:cs="Times New Roman"/>
          <w:bCs/>
        </w:rPr>
        <w:t xml:space="preserve"> </w:t>
      </w:r>
    </w:p>
    <w:p w:rsidR="006A5AE3" w:rsidRPr="006A5AE3" w:rsidRDefault="007D542B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7" w:history="1">
        <w:r w:rsidR="006A5AE3" w:rsidRPr="006A5AE3">
          <w:rPr>
            <w:rStyle w:val="a7"/>
            <w:rFonts w:ascii="Times New Roman" w:hAnsi="Times New Roman" w:cs="Times New Roman"/>
          </w:rPr>
          <w:t>http://claw.ru</w:t>
        </w:r>
      </w:hyperlink>
    </w:p>
    <w:p w:rsidR="006A5AE3" w:rsidRPr="006A5AE3" w:rsidRDefault="007D542B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8" w:history="1">
        <w:r w:rsidR="006A5AE3" w:rsidRPr="006A5AE3">
          <w:rPr>
            <w:rStyle w:val="a7"/>
            <w:rFonts w:ascii="Times New Roman" w:hAnsi="Times New Roman" w:cs="Times New Roman"/>
          </w:rPr>
          <w:t>http://mylect.ru</w:t>
        </w:r>
      </w:hyperlink>
    </w:p>
    <w:p w:rsidR="006A5AE3" w:rsidRPr="006A5AE3" w:rsidRDefault="007D542B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9" w:history="1">
        <w:r w:rsidR="006A5AE3" w:rsidRPr="006A5AE3">
          <w:rPr>
            <w:rStyle w:val="a7"/>
            <w:rFonts w:ascii="Times New Roman" w:hAnsi="Times New Roman" w:cs="Times New Roman"/>
          </w:rPr>
          <w:t>http://snezhana.ru/manko_info/</w:t>
        </w:r>
      </w:hyperlink>
    </w:p>
    <w:p w:rsidR="00413E2C" w:rsidRDefault="00413E2C" w:rsidP="00413E2C">
      <w:pPr>
        <w:spacing w:after="0"/>
      </w:pPr>
    </w:p>
    <w:p w:rsidR="00A13090" w:rsidRPr="00A13090" w:rsidRDefault="00A13090" w:rsidP="00A13090">
      <w:pPr>
        <w:suppressAutoHyphens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3090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 АСУ Проколледж</w:t>
      </w: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330A" w:rsidRDefault="00AF330A"/>
    <w:sectPr w:rsidR="00AF330A" w:rsidSect="0060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F2F" w:rsidRDefault="00001F2F" w:rsidP="00413E2C">
      <w:pPr>
        <w:spacing w:after="0" w:line="240" w:lineRule="auto"/>
      </w:pPr>
      <w:r>
        <w:separator/>
      </w:r>
    </w:p>
  </w:endnote>
  <w:endnote w:type="continuationSeparator" w:id="1">
    <w:p w:rsidR="00001F2F" w:rsidRDefault="00001F2F" w:rsidP="00413E2C">
      <w:pPr>
        <w:spacing w:after="0" w:line="240" w:lineRule="auto"/>
      </w:pPr>
      <w:r>
        <w:continuationSeparator/>
      </w:r>
    </w:p>
  </w:endnote>
  <w:endnote w:id="2"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Pr="00387850" w:rsidRDefault="003940E0" w:rsidP="003940E0">
      <w:pPr>
        <w:pStyle w:val="a9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F2F" w:rsidRDefault="00001F2F" w:rsidP="00413E2C">
      <w:pPr>
        <w:spacing w:after="0" w:line="240" w:lineRule="auto"/>
      </w:pPr>
      <w:r>
        <w:separator/>
      </w:r>
    </w:p>
  </w:footnote>
  <w:footnote w:type="continuationSeparator" w:id="1">
    <w:p w:rsidR="00001F2F" w:rsidRDefault="00001F2F" w:rsidP="00413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3">
    <w:nsid w:val="1A235DD7"/>
    <w:multiLevelType w:val="hybridMultilevel"/>
    <w:tmpl w:val="9940D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A2391"/>
    <w:multiLevelType w:val="hybridMultilevel"/>
    <w:tmpl w:val="6E04159A"/>
    <w:lvl w:ilvl="0" w:tplc="1F16F68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0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3E2C"/>
    <w:rsid w:val="00001F2F"/>
    <w:rsid w:val="001F2226"/>
    <w:rsid w:val="00214A78"/>
    <w:rsid w:val="003940E0"/>
    <w:rsid w:val="00413E2C"/>
    <w:rsid w:val="006A5AE3"/>
    <w:rsid w:val="006A7A65"/>
    <w:rsid w:val="007D542B"/>
    <w:rsid w:val="008B65D3"/>
    <w:rsid w:val="00A13090"/>
    <w:rsid w:val="00A6168F"/>
    <w:rsid w:val="00A701C6"/>
    <w:rsid w:val="00AF330A"/>
    <w:rsid w:val="00BC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26"/>
  </w:style>
  <w:style w:type="paragraph" w:styleId="1">
    <w:name w:val="heading 1"/>
    <w:basedOn w:val="a"/>
    <w:next w:val="a"/>
    <w:link w:val="10"/>
    <w:qFormat/>
    <w:rsid w:val="00413E2C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E2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3">
    <w:name w:val="Символ сноски"/>
    <w:basedOn w:val="a0"/>
    <w:rsid w:val="00413E2C"/>
    <w:rPr>
      <w:vertAlign w:val="superscript"/>
    </w:rPr>
  </w:style>
  <w:style w:type="paragraph" w:styleId="a4">
    <w:name w:val="Normal (Web)"/>
    <w:basedOn w:val="a"/>
    <w:rsid w:val="00413E2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note text"/>
    <w:basedOn w:val="a"/>
    <w:link w:val="a6"/>
    <w:rsid w:val="00413E2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413E2C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7">
    <w:name w:val="Hyperlink"/>
    <w:basedOn w:val="a0"/>
    <w:rsid w:val="00413E2C"/>
    <w:rPr>
      <w:color w:val="0000FF"/>
      <w:u w:val="single"/>
    </w:rPr>
  </w:style>
  <w:style w:type="paragraph" w:customStyle="1" w:styleId="ConsPlusNormal">
    <w:name w:val="ConsPlusNormal"/>
    <w:rsid w:val="00413E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Список 21"/>
    <w:basedOn w:val="a"/>
    <w:rsid w:val="00413E2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413E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413E2C"/>
    <w:pPr>
      <w:ind w:left="720"/>
      <w:contextualSpacing/>
    </w:pPr>
  </w:style>
  <w:style w:type="paragraph" w:styleId="2">
    <w:name w:val="List 2"/>
    <w:basedOn w:val="a"/>
    <w:rsid w:val="00413E2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endnote text"/>
    <w:basedOn w:val="a"/>
    <w:link w:val="aa"/>
    <w:rsid w:val="0041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413E2C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endnote reference"/>
    <w:basedOn w:val="a0"/>
    <w:rsid w:val="00413E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1410</Words>
  <Characters>8042</Characters>
  <Application>Microsoft Office Word</Application>
  <DocSecurity>0</DocSecurity>
  <Lines>67</Lines>
  <Paragraphs>18</Paragraphs>
  <ScaleCrop>false</ScaleCrop>
  <Company>ЗлатИК им.П.П.Аносова</Company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7</cp:revision>
  <dcterms:created xsi:type="dcterms:W3CDTF">2016-12-04T21:39:00Z</dcterms:created>
  <dcterms:modified xsi:type="dcterms:W3CDTF">2019-01-23T07:48:00Z</dcterms:modified>
</cp:coreProperties>
</file>